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Skara kommunfullmäktige</w:t>
      </w:r>
    </w:p>
    <w:p>
      <w:pPr>
        <w:pStyle w:val="Heading1"/>
      </w:pPr>
      <w:r>
        <w:t xml:space="preserve">Främja lokala energilösningar och cirkulär ekonomi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Centerpartiet i Skara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Jordbruket i Skara har potential för biogas och solenergi. Kommunen saknar en tydlig strategi för cirkulär ekonomi enligt miljöplanen.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Centerpartiet i Skara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energi- och klimatstrategi med fokus på lokal produktion antas.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stöd ges till lantbrukare som investerar i förnybar energi.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kommunens upphandlingar prioriterar cirkulära lösningar.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samverkan med högskolor och företag etableras för pilotprojekt.</w:t>
      </w:r>
    </w:p>
    <w:p>
      <w:pPr>
        <w:spacing w:before="360"/>
      </w:pPr>
    </w:p>
    <w:p>
      <w:r>
        <w:t xml:space="preserve">Skara,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Centerpartiet i Skara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2026-07-14T01:13:17.564Z</dcterms:created>
  <dcterms:modified xsi:type="dcterms:W3CDTF">2026-07-14T01:13:17.564Z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